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A6631B"/>
          <w:sz w:val="19"/>
        </w:rPr>
        <w:t>MODIFIABLE REQUEST FOR PROPOSALS (RFP) TEMPLATE  |  VNA-RFP-042</w:t>
      </w:r>
    </w:p>
    <w:p>
      <w:pPr>
        <w:pStyle w:val="Heading1"/>
      </w:pPr>
      <w:r>
        <w:rPr>
          <w:color w:val="261F14"/>
        </w:rPr>
        <w:t>Request for Proposals (RFP): Oracle ULA Exit Certification, LMS/GLAS Audit Defense &amp; VMware Hard-Partitioning Architecture</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A6631B"/>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2B2214"/>
          </w:tcPr>
          <w:p>
            <w:r>
              <w:rPr>
                <w:b/>
                <w:color w:val="FFFFFF"/>
                <w:sz w:val="19"/>
              </w:rPr>
              <w:t>Procurement Milestone / Field</w:t>
            </w:r>
          </w:p>
        </w:tc>
        <w:tc>
          <w:tcPr>
            <w:tcW w:type="dxa" w:w="5040"/>
            <w:shd w:val="clear" w:color="auto" w:fill="2B2214"/>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VNA-RFP-042 (Companion to Solution Brief VNA-SB-042)</w:t>
            </w:r>
          </w:p>
        </w:tc>
      </w:tr>
      <w:tr>
        <w:tc>
          <w:tcPr>
            <w:tcW w:type="dxa" w:w="5040"/>
          </w:tcPr>
          <w:p>
            <w:r>
              <w:rPr>
                <w:b/>
              </w:rPr>
              <w:t>RFP Issue Date</w:t>
            </w:r>
          </w:p>
        </w:tc>
        <w:tc>
          <w:tcPr>
            <w:tcW w:type="dxa" w:w="5040"/>
          </w:tcPr>
          <w:p>
            <w:r>
              <w:t>[2026-11-01]</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Uncertified Oracle ULA Contracts, VMware vSphere Soft-Partition Exposure &amp; LMS/GLAS Audit Scripts environment to Certified ULA Exit Baseline + OCI / OLVM Hard-Partitioned Compute + Zero-Penalty License Governance.</w:t>
      </w:r>
    </w:p>
    <w:p>
      <w:pPr>
        <w:pStyle w:val="ListBullet"/>
      </w:pPr>
      <w:r>
        <w:t>Critical business operations remain trapped in Uncertified Oracle ULA Contracts, VMware vSphere Soft-Partition Exposure &amp; LMS/GLAS Audit Scripts, creating audit risk, manual reconciliation overhead, and rising support costs.</w:t>
      </w:r>
    </w:p>
    <w:p>
      <w:pPr>
        <w:pStyle w:val="ListBullet"/>
      </w:pPr>
      <w:r>
        <w:t>Duplicate queries, cloned reports, and undocumented triggers make impact analysis slow and expensive across oracle database, weblogic &amp; java se instances.</w:t>
      </w:r>
    </w:p>
    <w:p>
      <w:pPr>
        <w:pStyle w:val="ListBullet"/>
      </w:pPr>
      <w:r>
        <w:t>Lack of automated binary-to-database metadata mapping causes traditional consulting shops to pad estimates with 40% manual discovery buffers.</w:t>
      </w:r>
    </w:p>
    <w:p>
      <w:pPr>
        <w:pStyle w:val="ListBullet"/>
      </w:pPr>
      <w:r>
        <w:t>Leadership needs a predictable, fixed-fee phased timeline with verifiable test specifications and zero-downtime cutover guarantees.</w:t>
      </w:r>
    </w:p>
    <w:p>
      <w:pPr>
        <w:pStyle w:val="Heading2"/>
      </w:pPr>
      <w:r>
        <w:rPr>
          <w:color w:val="A6631B"/>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A6631B"/>
          </w:tcPr>
          <w:p>
            <w:r>
              <w:rPr>
                <w:b/>
                <w:color w:val="FFFFFF"/>
                <w:sz w:val="19"/>
              </w:rPr>
              <w:t>Inventory Dimension</w:t>
            </w:r>
          </w:p>
        </w:tc>
        <w:tc>
          <w:tcPr>
            <w:tcW w:type="dxa" w:w="3360"/>
            <w:shd w:val="clear" w:color="auto" w:fill="A6631B"/>
          </w:tcPr>
          <w:p>
            <w:r>
              <w:rPr>
                <w:b/>
                <w:color w:val="FFFFFF"/>
                <w:sz w:val="19"/>
              </w:rPr>
              <w:t>Current Baseline Footprint (Editable)</w:t>
            </w:r>
          </w:p>
        </w:tc>
        <w:tc>
          <w:tcPr>
            <w:tcW w:type="dxa" w:w="3360"/>
            <w:shd w:val="clear" w:color="auto" w:fill="A6631B"/>
          </w:tcPr>
          <w:p>
            <w:r>
              <w:rPr>
                <w:b/>
                <w:color w:val="FFFFFF"/>
                <w:sz w:val="19"/>
              </w:rPr>
              <w:t>Target Modernization SLA / Objective</w:t>
            </w:r>
          </w:p>
        </w:tc>
      </w:tr>
      <w:tr>
        <w:tc>
          <w:tcPr>
            <w:tcW w:type="dxa" w:w="3360"/>
          </w:tcPr>
          <w:p>
            <w:r>
              <w:rPr>
                <w:b/>
              </w:rPr>
              <w:t>Legacy Source Stack (Stack X)</w:t>
            </w:r>
          </w:p>
        </w:tc>
        <w:tc>
          <w:tcPr>
            <w:tcW w:type="dxa" w:w="3360"/>
          </w:tcPr>
          <w:p>
            <w:r>
              <w:t>Uncertified Oracle ULA Contracts, VMware vSphere Soft-Partition Exposure &amp; LMS/GLAS Audit Scripts</w:t>
            </w:r>
          </w:p>
        </w:tc>
        <w:tc>
          <w:tcPr>
            <w:tcW w:type="dxa" w:w="3360"/>
          </w:tcPr>
          <w:p>
            <w:r>
              <w:t>Full retirement / modernization</w:t>
            </w:r>
          </w:p>
        </w:tc>
      </w:tr>
      <w:tr>
        <w:tc>
          <w:tcPr>
            <w:tcW w:type="dxa" w:w="3360"/>
          </w:tcPr>
          <w:p>
            <w:r>
              <w:rPr>
                <w:b/>
              </w:rPr>
              <w:t>Target Architecture (Stack Y)</w:t>
            </w:r>
          </w:p>
        </w:tc>
        <w:tc>
          <w:tcPr>
            <w:tcW w:type="dxa" w:w="3360"/>
          </w:tcPr>
          <w:p>
            <w:r>
              <w:t>Certified ULA Exit Baseline + OCI / OLVM Hard-Partitioned Compute + Zero-Penalty License Governance</w:t>
            </w:r>
          </w:p>
        </w:tc>
        <w:tc>
          <w:tcPr>
            <w:tcW w:type="dxa" w:w="3360"/>
          </w:tcPr>
          <w:p>
            <w:r>
              <w:t>Production HA/DR &amp; security governance</w:t>
            </w:r>
          </w:p>
        </w:tc>
      </w:tr>
      <w:tr>
        <w:tc>
          <w:tcPr>
            <w:tcW w:type="dxa" w:w="3360"/>
          </w:tcPr>
          <w:p>
            <w:r>
              <w:rPr>
                <w:b/>
              </w:rPr>
              <w:t>Physical Hosts / VMware Clusters Running Oracle</w:t>
            </w:r>
          </w:p>
        </w:tc>
        <w:tc>
          <w:tcPr>
            <w:tcW w:type="dxa" w:w="3360"/>
          </w:tcPr>
          <w:p>
            <w:r>
              <w:t>[Insert Count, e.g., 28 hosts/clusters]</w:t>
            </w:r>
          </w:p>
        </w:tc>
        <w:tc>
          <w:tcPr>
            <w:tcW w:type="dxa" w:w="3360"/>
          </w:tcPr>
          <w:p>
            <w:r>
              <w:t>100% functional parity &amp; optimization</w:t>
            </w:r>
          </w:p>
        </w:tc>
      </w:tr>
      <w:tr>
        <w:tc>
          <w:tcPr>
            <w:tcW w:type="dxa" w:w="3360"/>
          </w:tcPr>
          <w:p>
            <w:r>
              <w:rPr>
                <w:b/>
              </w:rPr>
              <w:t>Oracle Database, WebLogic &amp; Java SE Instances</w:t>
            </w:r>
          </w:p>
        </w:tc>
        <w:tc>
          <w:tcPr>
            <w:tcW w:type="dxa" w:w="3360"/>
          </w:tcPr>
          <w:p>
            <w:r>
              <w:t>[Insert Count, e.g., 140 instances]</w:t>
            </w:r>
          </w:p>
        </w:tc>
        <w:tc>
          <w:tcPr>
            <w:tcW w:type="dxa" w:w="3360"/>
          </w:tcPr>
          <w:p>
            <w:r>
              <w:t>Automated AST &amp; schema uplift</w:t>
            </w:r>
          </w:p>
        </w:tc>
      </w:tr>
      <w:tr>
        <w:tc>
          <w:tcPr>
            <w:tcW w:type="dxa" w:w="3360"/>
          </w:tcPr>
          <w:p>
            <w:r>
              <w:rPr>
                <w:b/>
              </w:rPr>
              <w:t>Unneeded Option &amp; Core License Sprawl Cut</w:t>
            </w:r>
          </w:p>
        </w:tc>
        <w:tc>
          <w:tcPr>
            <w:tcW w:type="dxa" w:w="3360"/>
          </w:tcPr>
          <w:p>
            <w:r>
              <w:t>[Insert Count, e.g., 75 % right-sized]</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A6631B"/>
        </w:rPr>
        <w:t>Section 3: Mandatory Technical Scope of Work &amp; Conversion Matrix</w:t>
      </w:r>
    </w:p>
    <w:p>
      <w:pPr>
        <w:pStyle w:val="ListNumber"/>
      </w:pPr>
      <w:r>
        <w:rPr>
          <w:b/>
        </w:rPr>
        <w:t xml:space="preserve">[REQ-ARCH-01] </w:t>
      </w:r>
      <w:r>
        <w:t>Automated Phase 0 AST &amp; binary scan mapping Uncertified Oracle ULA Contracts, VMware vSphere Soft-Partition Exposure &amp; LMS/GLAS Audit Scripts artifacts directly to live Oracle dictionary metadata and profiling production data.</w:t>
      </w:r>
    </w:p>
    <w:p>
      <w:pPr>
        <w:pStyle w:val="ListNumber"/>
      </w:pPr>
      <w:r>
        <w:rPr>
          <w:b/>
        </w:rPr>
        <w:t xml:space="preserve">[REQ-ARCH-02] </w:t>
      </w:r>
      <w:r>
        <w:t>Target architecture built on Certified ULA Exit Baseline + OCI / OLVM Hard-Partitioned Compute + Zero-Penalty License Governance, consolidating cloned queries into governed core SQL views with runtime Smart Filters.</w:t>
      </w:r>
    </w:p>
    <w:p>
      <w:pPr>
        <w:pStyle w:val="ListNumber"/>
      </w:pPr>
      <w:r>
        <w:rPr>
          <w:b/>
        </w:rPr>
        <w:t xml:space="preserve">[REQ-ARCH-03] </w:t>
      </w:r>
      <w:r>
        <w:t>Automated generation of full Business Requirements Documents (BRD), Technical Approach Docs, Testing Specifications, and Verified Test Results.</w:t>
      </w:r>
    </w:p>
    <w:p>
      <w:pPr>
        <w:pStyle w:val="ListNumber"/>
      </w:pPr>
      <w:r>
        <w:rPr>
          <w:b/>
        </w:rPr>
        <w:t xml:space="preserve">[REQ-ARCH-04] </w:t>
      </w:r>
      <w:r>
        <w:t>Zero-trust SSO/MFA (Entra ID / Okta) paired with database-enforced row-level security (VPD / RAS) and SQLcl Liquibase CI/CD pipelines.</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B2214"/>
          </w:tcPr>
          <w:p>
            <w:r>
              <w:rPr>
                <w:b/>
                <w:color w:val="FFFFFF"/>
                <w:sz w:val="19"/>
              </w:rPr>
              <w:t>Req ID</w:t>
            </w:r>
          </w:p>
        </w:tc>
        <w:tc>
          <w:tcPr>
            <w:tcW w:type="dxa" w:w="2520"/>
            <w:shd w:val="clear" w:color="auto" w:fill="2B2214"/>
          </w:tcPr>
          <w:p>
            <w:r>
              <w:rPr>
                <w:b/>
                <w:color w:val="FFFFFF"/>
                <w:sz w:val="19"/>
              </w:rPr>
              <w:t>Legacy Artifact / Baseline Workload</w:t>
            </w:r>
          </w:p>
        </w:tc>
        <w:tc>
          <w:tcPr>
            <w:tcW w:type="dxa" w:w="2520"/>
            <w:shd w:val="clear" w:color="auto" w:fill="2B2214"/>
          </w:tcPr>
          <w:p>
            <w:r>
              <w:rPr>
                <w:b/>
                <w:color w:val="FFFFFF"/>
                <w:sz w:val="19"/>
              </w:rPr>
              <w:t>Required Target Architecture</w:t>
            </w:r>
          </w:p>
        </w:tc>
        <w:tc>
          <w:tcPr>
            <w:tcW w:type="dxa" w:w="2520"/>
            <w:shd w:val="clear" w:color="auto" w:fill="2B2214"/>
          </w:tcPr>
          <w:p>
            <w:r>
              <w:rPr>
                <w:b/>
                <w:color w:val="FFFFFF"/>
                <w:sz w:val="19"/>
              </w:rPr>
              <w:t>Engineering Method &amp; Acceptance Gate</w:t>
            </w:r>
          </w:p>
        </w:tc>
      </w:tr>
      <w:tr>
        <w:tc>
          <w:tcPr>
            <w:tcW w:type="dxa" w:w="2520"/>
          </w:tcPr>
          <w:p>
            <w:r>
              <w:rPr>
                <w:b/>
              </w:rPr>
              <w:t>REQ-01</w:t>
            </w:r>
          </w:p>
        </w:tc>
        <w:tc>
          <w:tcPr>
            <w:tcW w:type="dxa" w:w="2520"/>
          </w:tcPr>
          <w:p>
            <w:r>
              <w:t>Source Tier: Uncertified Oracle ULA Contracts, VMware vSphere Soft-Partition Exposure &amp; LMS/GLAS Audit Scripts</w:t>
            </w:r>
          </w:p>
        </w:tc>
        <w:tc>
          <w:tcPr>
            <w:tcW w:type="dxa" w:w="2520"/>
          </w:tcPr>
          <w:p>
            <w:r>
              <w:t>Certified ULA Exit Baseline + OCI / OLVM Hard-Partitioned Compute + Zero-Penalty License Governance</w:t>
            </w:r>
          </w:p>
        </w:tc>
        <w:tc>
          <w:tcPr>
            <w:tcW w:type="dxa" w:w="2520"/>
          </w:tcPr>
          <w:p>
            <w:r>
              <w:t>Automated AST &amp; Metadata Uplift (85%-95%)</w:t>
            </w:r>
          </w:p>
        </w:tc>
      </w:tr>
      <w:tr>
        <w:tc>
          <w:tcPr>
            <w:tcW w:type="dxa" w:w="2520"/>
          </w:tcPr>
          <w:p>
            <w:r>
              <w:rPr>
                <w:b/>
              </w:rPr>
              <w:t>REQ-02</w:t>
            </w:r>
          </w:p>
        </w:tc>
        <w:tc>
          <w:tcPr>
            <w:tcW w:type="dxa" w:w="2520"/>
          </w:tcPr>
          <w:p>
            <w:r>
              <w:t>Primary Footprint: Physical Hosts / VMware Clusters Running Oracle</w:t>
            </w:r>
          </w:p>
        </w:tc>
        <w:tc>
          <w:tcPr>
            <w:tcW w:type="dxa" w:w="2520"/>
          </w:tcPr>
          <w:p>
            <w:r>
              <w:t>Oracle APEX 24.2 Redwood UI + PL/SQL APIs</w:t>
            </w:r>
          </w:p>
        </w:tc>
        <w:tc>
          <w:tcPr>
            <w:tcW w:type="dxa" w:w="2520"/>
          </w:tcPr>
          <w:p>
            <w:r>
              <w:t>Binary-to-DB Metadata Mapping + Pilot Sprint</w:t>
            </w:r>
          </w:p>
        </w:tc>
      </w:tr>
      <w:tr>
        <w:tc>
          <w:tcPr>
            <w:tcW w:type="dxa" w:w="2520"/>
          </w:tcPr>
          <w:p>
            <w:r>
              <w:rPr>
                <w:b/>
              </w:rPr>
              <w:t>REQ-03</w:t>
            </w:r>
          </w:p>
        </w:tc>
        <w:tc>
          <w:tcPr>
            <w:tcW w:type="dxa" w:w="2520"/>
          </w:tcPr>
          <w:p>
            <w:r>
              <w:t>Workload &amp; Queries: Oracle Database, WebLogic &amp; Java SE Instances</w:t>
            </w:r>
          </w:p>
        </w:tc>
        <w:tc>
          <w:tcPr>
            <w:tcW w:type="dxa" w:w="2520"/>
          </w:tcPr>
          <w:p>
            <w:r>
              <w:t>Canonical Core SQL Views + Runtime Smart Filters</w:t>
            </w:r>
          </w:p>
        </w:tc>
        <w:tc>
          <w:tcPr>
            <w:tcW w:type="dxa" w:w="2520"/>
          </w:tcPr>
          <w:p>
            <w:r>
              <w:t>Query Fan-Out Clustering (75%-90% Reduction)</w:t>
            </w:r>
          </w:p>
        </w:tc>
      </w:tr>
      <w:tr>
        <w:tc>
          <w:tcPr>
            <w:tcW w:type="dxa" w:w="2520"/>
          </w:tcPr>
          <w:p>
            <w:r>
              <w:rPr>
                <w:b/>
              </w:rPr>
              <w:t>REQ-04</w:t>
            </w:r>
          </w:p>
        </w:tc>
        <w:tc>
          <w:tcPr>
            <w:tcW w:type="dxa" w:w="2520"/>
          </w:tcPr>
          <w:p>
            <w:r>
              <w:t>Undocumented Legacy Business Rules &amp; QA</w:t>
            </w:r>
          </w:p>
        </w:tc>
        <w:tc>
          <w:tcPr>
            <w:tcW w:type="dxa" w:w="2520"/>
          </w:tcPr>
          <w:p>
            <w:r>
              <w:t>Auto-Generated BRD, Approach Doc, Test Specs &amp; Results</w:t>
            </w:r>
          </w:p>
        </w:tc>
        <w:tc>
          <w:tcPr>
            <w:tcW w:type="dxa" w:w="2520"/>
          </w:tcPr>
          <w:p>
            <w:r>
              <w:t>100% Automated Documentation &amp; utPLSQL / Playwright</w:t>
            </w:r>
          </w:p>
        </w:tc>
      </w:tr>
    </w:tbl>
    <w:p>
      <w:pPr>
        <w:pStyle w:val="Heading2"/>
      </w:pPr>
      <w:r>
        <w:rPr>
          <w:color w:val="A6631B"/>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What are the primary levers that control the cost of Oracle ULA Certification &amp; LMS Audit Defense?   [Evaluator Score: ___ / 10]</w:t>
      </w:r>
    </w:p>
    <w:p>
      <w:pPr>
        <w:pStyle w:val="ListBullet"/>
      </w:pPr>
      <w:r>
        <w:rPr>
          <w:b/>
        </w:rPr>
        <w:t xml:space="preserve">Reference Evaluation Benchmark: </w:t>
      </w:r>
      <w:r>
        <w:t>Cost is controlled by five levers: (1) collapsing cloned query fan-out across oracle database, weblogic &amp; java se instances into canonical core SQL views, (2) percentage of business logic already in database packages vs. UI triggers, (3) production data quality profiled during Phase 0, (4) external integration/SSO count, and (5) cutover downtime requirements.</w:t>
      </w:r>
    </w:p>
    <w:p>
      <w:pPr>
        <w:pStyle w:val="ListBullet"/>
      </w:pPr>
      <w:r>
        <w:rPr>
          <w:b/>
        </w:rPr>
        <w:t xml:space="preserve">Vendor Written Response: </w:t>
      </w:r>
      <w:r>
        <w:t>[Bidder to insert concrete technical architecture and verifiable production proof here]</w:t>
      </w:r>
    </w:p>
    <w:p>
      <w:r>
        <w:rPr>
          <w:b/>
        </w:rPr>
        <w:t>Vendor Question 2: How does your tool convert binaries (.fmb, .rdf, etc.), map database metadata, and generate documentation?   [Evaluator Score: ___ / 10]</w:t>
      </w:r>
    </w:p>
    <w:p>
      <w:pPr>
        <w:pStyle w:val="ListBullet"/>
      </w:pPr>
      <w:r>
        <w:rPr>
          <w:b/>
        </w:rPr>
        <w:t xml:space="preserve">Reference Evaluation Benchmark: </w:t>
      </w:r>
      <w:r>
        <w:t>Our automated analyzer parses legacy binaries and source files, extracts every trigger, query, and UI control, cross-references them against live database dictionary metadata (ALL_TAB_COLUMNS, ALL_DEPENDENCIES), profiles actual column data distributions, and automatically generates the Business Requirements Document (BRD), Technical Approach Doc, Test Specifications, and Verified Test Results.</w:t>
      </w:r>
    </w:p>
    <w:p>
      <w:pPr>
        <w:pStyle w:val="ListBullet"/>
      </w:pPr>
      <w:r>
        <w:rPr>
          <w:b/>
        </w:rPr>
        <w:t xml:space="preserve">Vendor Written Response: </w:t>
      </w:r>
      <w:r>
        <w:t>[Bidder to insert concrete technical architecture and verifiable production proof here]</w:t>
      </w:r>
    </w:p>
    <w:p>
      <w:r>
        <w:rPr>
          <w:b/>
        </w:rPr>
        <w:t>Vendor Question 3: What does a typical project timeline look like from kickoff to production cutover?   [Evaluator Score: ___ / 10]</w:t>
      </w:r>
    </w:p>
    <w:p>
      <w:pPr>
        <w:pStyle w:val="ListBullet"/>
      </w:pPr>
      <w:r>
        <w:rPr>
          <w:b/>
        </w:rPr>
        <w:t xml:space="preserve">Reference Evaluation Benchmark: </w:t>
      </w:r>
      <w:r>
        <w:t>Projects follow four gated phases: Phase 0 (Weeks 1-2: Binary AST Scan, Data Profiling &amp; Auto-Generated BRD), Phase 1 (Weeks 3-6: Core Schema Uplift &amp; Working Pilot), Phase 2 (Weeks 7-12: Automated Conversion Sprints &amp; Test Spec Execution), and Phase 3 (Weeks 13-16: Parallel Run, Zero-Downtime Cutover &amp; 30-Day Hypercare).</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A6631B"/>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B2214"/>
          </w:tcPr>
          <w:p>
            <w:r>
              <w:rPr>
                <w:b/>
                <w:color w:val="FFFFFF"/>
                <w:sz w:val="19"/>
              </w:rPr>
              <w:t>Milestone / Phase</w:t>
            </w:r>
          </w:p>
        </w:tc>
        <w:tc>
          <w:tcPr>
            <w:tcW w:type="dxa" w:w="2520"/>
            <w:shd w:val="clear" w:color="auto" w:fill="2B2214"/>
          </w:tcPr>
          <w:p>
            <w:r>
              <w:rPr>
                <w:b/>
                <w:color w:val="FFFFFF"/>
                <w:sz w:val="19"/>
              </w:rPr>
              <w:t>Deliverable &amp; Acceptance Gate</w:t>
            </w:r>
          </w:p>
        </w:tc>
        <w:tc>
          <w:tcPr>
            <w:tcW w:type="dxa" w:w="2520"/>
            <w:shd w:val="clear" w:color="auto" w:fill="2B2214"/>
          </w:tcPr>
          <w:p>
            <w:r>
              <w:rPr>
                <w:b/>
                <w:color w:val="FFFFFF"/>
                <w:sz w:val="19"/>
              </w:rPr>
              <w:t>Fixed Fee (USD)</w:t>
            </w:r>
          </w:p>
        </w:tc>
        <w:tc>
          <w:tcPr>
            <w:tcW w:type="dxa" w:w="2520"/>
            <w:shd w:val="clear" w:color="auto" w:fill="2B2214"/>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(VNA-RFP-042)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VNA-RFP-042  |  https://oracle-ula-lms-audit-defense.web.app/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